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double" w:sz="6" w:space="1" w:color="000000"/>
        </w:pBdr>
        <w:spacing w:lineRule="auto" w:line="240" w:before="0" w:after="0"/>
        <w:jc w:val="center"/>
        <w:outlineLvl w:val="0"/>
        <w:rPr>
          <w:rFonts w:ascii="Times New Roman" w:hAnsi="Times New Roman" w:eastAsia="Times New Roman"/>
          <w:b/>
          <w:b/>
          <w:bCs/>
          <w:sz w:val="24"/>
          <w:szCs w:val="24"/>
        </w:rPr>
      </w:pPr>
      <w:r>
        <w:rPr>
          <w:rFonts w:eastAsia="Times New Roman" w:ascii="Times New Roman" w:hAnsi="Times New Roman"/>
          <w:b/>
          <w:bCs/>
          <w:sz w:val="24"/>
          <w:szCs w:val="24"/>
        </w:rPr>
        <w:t>ОБЩЕСТВО С ОГРАНИЧЕННОЙ ОТВЕТСТВЕННОСТЬЮ «СТОКС-К»</w:t>
      </w:r>
    </w:p>
    <w:tbl>
      <w:tblPr>
        <w:tblW w:w="10490" w:type="dxa"/>
        <w:jc w:val="left"/>
        <w:tblInd w:w="109" w:type="dxa"/>
        <w:tblCellMar>
          <w:top w:w="0" w:type="dxa"/>
          <w:left w:w="108" w:type="dxa"/>
          <w:bottom w:w="0" w:type="dxa"/>
          <w:right w:w="108" w:type="dxa"/>
        </w:tblCellMar>
        <w:tblLook w:firstRow="1" w:noVBand="1" w:lastRow="0" w:firstColumn="1" w:lastColumn="0" w:noHBand="0" w:val="04a0"/>
      </w:tblPr>
      <w:tblGrid>
        <w:gridCol w:w="10490"/>
      </w:tblGrid>
      <w:tr>
        <w:trPr>
          <w:trHeight w:val="116" w:hRule="atLeast"/>
        </w:trPr>
        <w:tc>
          <w:tcPr>
            <w:tcW w:w="10490" w:type="dxa"/>
            <w:tcBorders/>
          </w:tcPr>
          <w:p>
            <w:pPr>
              <w:pStyle w:val="Normal"/>
              <w:tabs>
                <w:tab w:val="clear" w:pos="708"/>
                <w:tab w:val="center" w:pos="4153" w:leader="none"/>
                <w:tab w:val="right" w:pos="8306" w:leader="none"/>
              </w:tabs>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630009 г. Новосибирск, ул. Нижегородская, д. 27/1</w:t>
            </w:r>
          </w:p>
        </w:tc>
      </w:tr>
      <w:tr>
        <w:trPr>
          <w:trHeight w:val="262" w:hRule="atLeast"/>
        </w:trPr>
        <w:tc>
          <w:tcPr>
            <w:tcW w:w="10490" w:type="dxa"/>
            <w:tcBorders>
              <w:bottom w:val="single" w:sz="4" w:space="0" w:color="000000"/>
            </w:tcBorders>
          </w:tcPr>
          <w:p>
            <w:pPr>
              <w:pStyle w:val="Normal"/>
              <w:tabs>
                <w:tab w:val="clear" w:pos="708"/>
                <w:tab w:val="center" w:pos="4153" w:leader="none"/>
                <w:tab w:val="right" w:pos="8306" w:leader="none"/>
              </w:tabs>
              <w:spacing w:lineRule="auto" w:line="240" w:before="0" w:after="0"/>
              <w:jc w:val="center"/>
              <w:rPr>
                <w:rFonts w:ascii="Times New Roman" w:hAnsi="Times New Roman" w:eastAsia="Times New Roman" w:cs="Times New Roman"/>
                <w:i/>
                <w:i/>
                <w:sz w:val="26"/>
                <w:szCs w:val="26"/>
                <w:lang w:val="en-US"/>
              </w:rPr>
            </w:pPr>
            <w:r>
              <w:rPr>
                <w:rFonts w:eastAsia="Times New Roman" w:cs="Times New Roman" w:ascii="Times New Roman" w:hAnsi="Times New Roman"/>
                <w:i/>
                <w:sz w:val="26"/>
                <w:szCs w:val="26"/>
              </w:rPr>
              <w:t>Тел</w:t>
            </w:r>
            <w:r>
              <w:rPr>
                <w:rFonts w:eastAsia="Times New Roman" w:cs="Times New Roman" w:ascii="Times New Roman" w:hAnsi="Times New Roman"/>
                <w:i/>
                <w:sz w:val="26"/>
                <w:szCs w:val="26"/>
                <w:lang w:val="en-US"/>
              </w:rPr>
              <w:t>.: (8-383)311-06-04, 311-06-05</w:t>
            </w:r>
            <w:r>
              <w:rPr>
                <w:rStyle w:val="Style13"/>
                <w:rFonts w:eastAsia="Times New Roman" w:cs="Times New Roman" w:ascii="Times New Roman" w:hAnsi="Times New Roman"/>
                <w:i/>
                <w:color w:val="auto"/>
                <w:sz w:val="26"/>
                <w:szCs w:val="26"/>
                <w:u w:val="none"/>
                <w:lang w:val="en-US"/>
              </w:rPr>
              <w:t xml:space="preserve">, </w:t>
            </w:r>
            <w:r>
              <w:rPr>
                <w:rFonts w:eastAsia="Times New Roman" w:cs="Times New Roman" w:ascii="Times New Roman" w:hAnsi="Times New Roman"/>
                <w:i/>
                <w:sz w:val="26"/>
                <w:szCs w:val="26"/>
                <w:lang w:val="en-US"/>
              </w:rPr>
              <w:t xml:space="preserve">WhatsApp +7903964366, Email: </w:t>
            </w:r>
            <w:hyperlink r:id="rId2">
              <w:r>
                <w:rPr>
                  <w:rFonts w:eastAsia="Times New Roman" w:cs="Times New Roman" w:ascii="Times New Roman" w:hAnsi="Times New Roman"/>
                  <w:i/>
                  <w:color w:val="auto"/>
                  <w:sz w:val="26"/>
                  <w:szCs w:val="26"/>
                  <w:u w:val="none"/>
                  <w:lang w:val="en-US"/>
                </w:rPr>
                <w:t>stoks-k@mail.ru</w:t>
              </w:r>
            </w:hyperlink>
          </w:p>
        </w:tc>
      </w:tr>
    </w:tbl>
    <w:p>
      <w:pPr>
        <w:pStyle w:val="ConsPlusTitle"/>
        <w:jc w:val="center"/>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ind w:firstLine="539"/>
        <w:jc w:val="both"/>
        <w:rPr>
          <w:rFonts w:ascii="Times New Roman" w:hAnsi="Times New Roman" w:cs="Times New Roman"/>
          <w:b/>
          <w:b/>
          <w:bCs/>
          <w:sz w:val="24"/>
          <w:szCs w:val="24"/>
        </w:rPr>
      </w:pPr>
      <w:r>
        <w:rPr>
          <w:rFonts w:cs="Times New Roman" w:ascii="Times New Roman" w:hAnsi="Times New Roman"/>
          <w:b/>
          <w:bCs/>
          <w:sz w:val="24"/>
          <w:szCs w:val="24"/>
        </w:rPr>
        <w:t>Дополнительные тарифы и досрочная пенсия.</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Конституционный Суд РФ в Определении от 24.12.2020 N 2890-О, вынесенном по рассмотрению жалобы </w:t>
      </w:r>
      <w:r>
        <w:rPr>
          <w:rFonts w:eastAsia="Times New Roman" w:cs="Times New Roman" w:ascii="Times New Roman" w:hAnsi="Times New Roman"/>
          <w:sz w:val="24"/>
          <w:szCs w:val="24"/>
          <w:lang w:eastAsia="ru-RU"/>
        </w:rPr>
        <w:t>ООО "Торговый Дом "Аврора",</w:t>
      </w:r>
      <w:r>
        <w:rPr>
          <w:rFonts w:cs="Times New Roman" w:ascii="Times New Roman" w:hAnsi="Times New Roman"/>
          <w:sz w:val="24"/>
          <w:szCs w:val="24"/>
        </w:rPr>
        <w:t>подтвердил: взносы по дополнительному тарифу нужно платить и при неполной занятости на вредных работах.</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Организация оспаривала положения пенсионного законодательства о страховых взносах </w:t>
      </w:r>
      <w:r>
        <w:rPr>
          <w:rFonts w:eastAsia="Times New Roman" w:cs="Times New Roman" w:ascii="Times New Roman" w:hAnsi="Times New Roman"/>
          <w:sz w:val="24"/>
          <w:szCs w:val="24"/>
          <w:lang w:eastAsia="ru-RU"/>
        </w:rPr>
        <w:t>по дополнительному тарифу в отношении выплат в пользу работника, занятого менее 80% рабочего времени на рабочем месте с вредными условиями труда по профессии "электрогазосварщик" и работающего по совместительству по профессии "слесарь МСР".</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ПФР доначислил организации взносы по дополнительному тарифу, компания проиграла спор в арбитражных судах и обратилась в КС РФ. Однако КС РФ в обосновании ссылался и на аналогичные нормы в ст. 428 НК РФ.</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Ранее в судебной практике был иной подход. Поскольку в случае, когда сотрудник занят на вредных или опасных работах менее 80% времени, этот период не идет в стаж для назначения досрочной пенсии. Значит, и платить взносы по дополнительному тарифу не требуется. Однако Верховный Суд РФ еще в 2018 году разъяснял, что с выплаты "вреднику" нужно платить взносы даже при неполной занятости. С ним были согласны и Минфин, и ФНС, теперь и КС РФ.</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Суд сослался на то, что из правил нет каких-либо исключений, т.е. начисление взносов по дополнительному тарифу не зависит от занятости застрахованного лица. Перечисленные суммы создают источник для выплат пенсий всем "вредникам". Значит, эти правила не нарушают прав страхователя.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Данные выводы судов согласуются и с разъяснениями о том, что работник, претендующий на досрочную пенсию, не должен быть связан с обязательствами работодателя по начислению и выплате страховых взносов с его зарплаты, в том числе дополнительных взносов за вредные условия труда.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совсем недавнем судебном споре, касающемся назначения досрочной пенсии, нам пришлось отстаивать интересы работника, бывшие работодатели которого ликвидировались, не передав персонифицированные сведения ни о характере выполняемых работ (ручная или автоматическая сварка), ни о режиме занятости работника (полное или неполное рабочее время). Сведения о перечисленных пенсионных взносах либо отсутствовали вовсе, либо не содержали информации о перечислении взносов по дополнительным тарифам.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Защита такого работника осложнялась тем, что при обращении в Пенсионный фонд ему не выдавались документы, подтверждающие факт обращения, отказывали в устной форме. Лишь в 2019 г. факт обращения за начислением пенсии был оформлен в надлежащем порядке и выдан отказ в письменной форме, который и был обжалован. </w:t>
      </w:r>
    </w:p>
    <w:p>
      <w:pPr>
        <w:pStyle w:val="Normal"/>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Трудовой книжки для исчисления специального стажа в целях досрочного выхода на пенсию ПФ недостаточно. Из 12 с половиной лет специального стажа, дающего право на досрочную пенсию по достижении 55 лет (мужчинам) в соответствии с п. 2 ч. 1 ст. 30 </w:t>
      </w:r>
      <w:r>
        <w:rPr>
          <w:rFonts w:eastAsia="Times New Roman" w:cs="Times New Roman" w:ascii="Times New Roman" w:hAnsi="Times New Roman"/>
          <w:sz w:val="24"/>
          <w:szCs w:val="24"/>
          <w:lang w:eastAsia="ru-RU"/>
        </w:rPr>
        <w:t>Федерального закона "О страховых пенсиях"</w:t>
      </w:r>
      <w:r>
        <w:rPr>
          <w:rFonts w:cs="Times New Roman" w:ascii="Times New Roman" w:hAnsi="Times New Roman"/>
          <w:sz w:val="24"/>
          <w:szCs w:val="24"/>
        </w:rPr>
        <w:t xml:space="preserve">, Пенсионный фонд согласился только с чуть более тремя годами. С учетом того, что пенсионный возраст был существенно увеличен, работнику до пенсии пришлось бы работать дополнительно более 7 лет. Частично стаж получилось подтвердить свидетелями и правовым обоснованием незаконности обжалуемого решения ПФ РФ. В частности, Пенсионный фонд незаконно требовал подтверждение характера работ и занятости не менее 80% рабочего времени за период до 1992 г., когда Списки производств, работ, профессий и должностей, с учетом которых досрочно назначается трудовая пенсия по старости, не содержали такого требования.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Согласно </w:t>
      </w:r>
      <w:hyperlink r:id="rId3">
        <w:r>
          <w:rPr>
            <w:rFonts w:eastAsia="Times New Roman" w:cs="Times New Roman" w:ascii="Times New Roman" w:hAnsi="Times New Roman"/>
            <w:sz w:val="24"/>
            <w:szCs w:val="24"/>
            <w:u w:val="single"/>
          </w:rPr>
          <w:t>п. 3 ст. 13</w:t>
        </w:r>
      </w:hyperlink>
      <w:r>
        <w:rPr>
          <w:rFonts w:eastAsia="Times New Roman" w:cs="Times New Roman" w:ascii="Times New Roman" w:hAnsi="Times New Roman"/>
          <w:sz w:val="24"/>
          <w:szCs w:val="24"/>
        </w:rPr>
        <w:t xml:space="preserve"> ФЗ от 17 декабря 2001 года N 173-ФЗ "О трудовых пенсиях в РФ"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 Данной правовой нормой установлено ограничение допустимости средств доказывания при определении характера работы. Под характером работы понимаются особенности условий осуществления трудовой функции.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Сейчас проверить свой пенсионный стаж можно на сайте Госуслуги «Сведения о состоянии индивидуального лицевого счета».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Согласно п. 11 </w:t>
      </w:r>
      <w:r>
        <w:rPr>
          <w:rFonts w:cs="Times New Roman" w:ascii="Times New Roman" w:hAnsi="Times New Roman"/>
          <w:sz w:val="24"/>
          <w:szCs w:val="24"/>
          <w:shd w:fill="FFFFFF" w:val="clear"/>
        </w:rPr>
        <w:t xml:space="preserve">п. 11 Правил подсчета и подтверждения страхового стажа для установления страховых пенсий, утвержденных Постановлением Правительства РФ от </w:t>
      </w:r>
      <w:r>
        <w:rPr>
          <w:rFonts w:cs="Times New Roman" w:ascii="Times New Roman" w:hAnsi="Times New Roman"/>
          <w:sz w:val="24"/>
          <w:szCs w:val="24"/>
        </w:rPr>
        <w:t>02.10.2014 N 1015, документом, подтверждающим периоды работы по трудовому договору, является трудовая книжка установленного образца.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отсутствии трудовой книжки, а также в случае если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pPr>
        <w:pStyle w:val="Normal"/>
        <w:spacing w:lineRule="auto" w:line="240" w:before="0" w:after="0"/>
        <w:ind w:firstLine="540"/>
        <w:jc w:val="both"/>
        <w:rPr>
          <w:rFonts w:ascii="Times New Roman" w:hAnsi="Times New Roman" w:cs="Times New Roman"/>
          <w:color w:val="000000"/>
          <w:sz w:val="24"/>
          <w:szCs w:val="24"/>
          <w:highlight w:val="white"/>
        </w:rPr>
      </w:pPr>
      <w:r>
        <w:rPr>
          <w:rFonts w:cs="Times New Roman" w:ascii="Times New Roman" w:hAnsi="Times New Roman"/>
          <w:sz w:val="24"/>
          <w:szCs w:val="24"/>
        </w:rPr>
        <w:t>Как видно из отчета Пенсионного фонда за 2019 г. (по данным СМИ), увеличилось число отказов в назначении пенсий, н</w:t>
      </w:r>
      <w:r>
        <w:rPr>
          <w:rFonts w:cs="Times New Roman" w:ascii="Times New Roman" w:hAnsi="Times New Roman"/>
          <w:color w:val="000000"/>
          <w:sz w:val="24"/>
          <w:szCs w:val="24"/>
          <w:shd w:fill="FFFFFF" w:val="clear"/>
        </w:rPr>
        <w:t>аиболее частой причиной (49,2 процента) стало отсутствие оснований для досрочного назначения пенсии. Таким образом, о своих пенсионных правах нужно беспокоиться заранее.</w:t>
      </w:r>
    </w:p>
    <w:p>
      <w:pPr>
        <w:pStyle w:val="Normal"/>
        <w:spacing w:lineRule="auto" w:line="240" w:before="0" w:after="0"/>
        <w:ind w:firstLine="540"/>
        <w:jc w:val="both"/>
        <w:rPr>
          <w:rFonts w:ascii="Times New Roman" w:hAnsi="Times New Roman" w:cs="Times New Roman"/>
          <w:b/>
          <w:b/>
          <w:bCs/>
          <w:sz w:val="24"/>
          <w:szCs w:val="24"/>
        </w:rPr>
      </w:pPr>
      <w:r>
        <w:rPr>
          <w:rFonts w:cs="Times New Roman" w:ascii="Times New Roman" w:hAnsi="Times New Roman"/>
          <w:b/>
          <w:bCs/>
          <w:sz w:val="24"/>
          <w:szCs w:val="24"/>
        </w:rPr>
        <w:t>Работающие пенсионеры.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настоящее время работающие пенсионеры в период осуществления ими трудовой деятельности не имеют права на индексацию размера фиксированной выплаты к страховой пенсии и корректировку страховой пенсии.</w:t>
      </w:r>
    </w:p>
    <w:p>
      <w:pPr>
        <w:pStyle w:val="Normal"/>
        <w:spacing w:lineRule="auto" w:line="240" w:before="0" w:after="0"/>
        <w:ind w:firstLine="567"/>
        <w:jc w:val="both"/>
        <w:rPr>
          <w:rFonts w:ascii="Verdana" w:hAnsi="Verdana" w:eastAsia="Times New Roman" w:cs="Times New Roman"/>
          <w:b/>
          <w:b/>
          <w:sz w:val="21"/>
          <w:szCs w:val="21"/>
          <w:lang w:eastAsia="ru-RU"/>
        </w:rPr>
      </w:pPr>
      <w:r>
        <w:rPr>
          <w:rFonts w:eastAsia="Times New Roman" w:cs="Times New Roman" w:ascii="Times New Roman" w:hAnsi="Times New Roman"/>
          <w:b/>
          <w:sz w:val="24"/>
          <w:szCs w:val="24"/>
          <w:lang w:eastAsia="ru-RU"/>
        </w:rPr>
        <w:t>Работающими пенсионерами признаются пенсионеры, осуществляющие работу или иную деятельность, в период которой они подлежат обязательному пенсионному страхованию. В частности, к ним относятся лица, работающие по трудовому или гражданско-правовому договору, ИП и иные лица, занимающиеся частной практикой.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увольнения пенсионер получит суммы страховой пенсии и фиксированной выплаты к ней с учетом индексации и корректировки, имевших место в период осуществления им работы, начиная с 1-го числа месяца, следующего за месяцем прекращения работы.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возобновления им работы после осуществления индексации и корректировки страховая пенсия и фиксированная выплата к ней выплачиваются в сумме, причитавшейся на день, предшествующий дню возобновления работы (ч. 1, 3, 8 ст. 26.1 Закона N 400-ФЗ).</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 01.07.2020 такая индексация и корректировка страховой пенсии возобновлены для опекунов и попечителей, получающих страховые пенсии и исполняющих свои обязанности возмездно по договору об осуществлении опеки или попечительства, в том числе по договору о приемной семье (ч. 1 ст. 26.1 Закона N 400-ФЗ; </w:t>
      </w:r>
      <w:hyperlink r:id="rId4">
        <w:r>
          <w:rPr>
            <w:rFonts w:cs="Times New Roman" w:ascii="Times New Roman" w:hAnsi="Times New Roman"/>
            <w:color w:val="auto"/>
            <w:sz w:val="24"/>
            <w:szCs w:val="24"/>
          </w:rPr>
          <w:t>ч. 6</w:t>
        </w:r>
      </w:hyperlink>
      <w:r>
        <w:rPr>
          <w:rFonts w:cs="Times New Roman" w:ascii="Times New Roman" w:hAnsi="Times New Roman"/>
          <w:sz w:val="24"/>
          <w:szCs w:val="24"/>
        </w:rPr>
        <w:t xml:space="preserve"> - </w:t>
      </w:r>
      <w:hyperlink r:id="rId5">
        <w:r>
          <w:rPr>
            <w:rFonts w:cs="Times New Roman" w:ascii="Times New Roman" w:hAnsi="Times New Roman"/>
            <w:color w:val="auto"/>
            <w:sz w:val="24"/>
            <w:szCs w:val="24"/>
          </w:rPr>
          <w:t>8 ст. 10</w:t>
        </w:r>
      </w:hyperlink>
      <w:r>
        <w:rPr>
          <w:rFonts w:cs="Times New Roman" w:ascii="Times New Roman" w:hAnsi="Times New Roman"/>
          <w:sz w:val="24"/>
          <w:szCs w:val="24"/>
        </w:rPr>
        <w:t xml:space="preserve"> Закона от 03.10.2018 N 350-ФЗ; </w:t>
      </w:r>
      <w:hyperlink r:id="rId6">
        <w:r>
          <w:rPr>
            <w:rFonts w:cs="Times New Roman" w:ascii="Times New Roman" w:hAnsi="Times New Roman"/>
            <w:color w:val="auto"/>
            <w:sz w:val="24"/>
            <w:szCs w:val="24"/>
          </w:rPr>
          <w:t>абз. 2 п. 1 ст. 7</w:t>
        </w:r>
      </w:hyperlink>
      <w:r>
        <w:rPr>
          <w:rFonts w:cs="Times New Roman" w:ascii="Times New Roman" w:hAnsi="Times New Roman"/>
          <w:sz w:val="24"/>
          <w:szCs w:val="24"/>
        </w:rPr>
        <w:t xml:space="preserve"> Закона N 167-ФЗ; </w:t>
      </w:r>
      <w:hyperlink r:id="rId7">
        <w:r>
          <w:rPr>
            <w:rFonts w:cs="Times New Roman" w:ascii="Times New Roman" w:hAnsi="Times New Roman"/>
            <w:color w:val="auto"/>
            <w:sz w:val="24"/>
            <w:szCs w:val="24"/>
          </w:rPr>
          <w:t>Закон</w:t>
        </w:r>
      </w:hyperlink>
      <w:r>
        <w:rPr>
          <w:rFonts w:cs="Times New Roman" w:ascii="Times New Roman" w:hAnsi="Times New Roman"/>
          <w:sz w:val="24"/>
          <w:szCs w:val="24"/>
        </w:rPr>
        <w:t xml:space="preserve"> от 01.04.2020 N 86-ФЗ; </w:t>
      </w:r>
      <w:hyperlink r:id="rId8">
        <w:r>
          <w:rPr>
            <w:rFonts w:cs="Times New Roman" w:ascii="Times New Roman" w:hAnsi="Times New Roman"/>
            <w:color w:val="auto"/>
            <w:sz w:val="24"/>
            <w:szCs w:val="24"/>
          </w:rPr>
          <w:t>разд. 4.3</w:t>
        </w:r>
      </w:hyperlink>
      <w:r>
        <w:rPr>
          <w:rFonts w:cs="Times New Roman" w:ascii="Times New Roman" w:hAnsi="Times New Roman"/>
          <w:sz w:val="24"/>
          <w:szCs w:val="24"/>
        </w:rPr>
        <w:t xml:space="preserve"> Основных направлений бюджетной, налоговой и таможенно-тарифной политики на 2021 год и на плановый период 2022 и 2023 годов, утв. Минфином России).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связи с осуществлением пенсионером трудовой деятельности перерасчет его страховой пенсии производится в связи с увеличением размера ИПК (</w:t>
      </w:r>
      <w:r>
        <w:rPr>
          <w:rFonts w:eastAsia="Times New Roman" w:cs="Times New Roman" w:ascii="Times New Roman" w:hAnsi="Times New Roman"/>
          <w:sz w:val="24"/>
          <w:szCs w:val="24"/>
          <w:lang w:eastAsia="ru-RU"/>
        </w:rPr>
        <w:t xml:space="preserve">индивидуального пенсионного коэффициента) </w:t>
      </w:r>
      <w:r>
        <w:rPr>
          <w:rFonts w:cs="Times New Roman" w:ascii="Times New Roman" w:hAnsi="Times New Roman"/>
          <w:sz w:val="24"/>
          <w:szCs w:val="24"/>
        </w:rPr>
        <w:t>исходя из суммы страховых взносов, уплаченных за него работодателем в ПФР после 01.01.2015, которые не были учтены при назначении страховой пенсии. При перерасчете страховой пенсии в этом случае максимальное значение ИПК до 2024 г. составляет 3,0.</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общем случае территориальный орган ПФР пересчитывает страховую пенсию по старости или страховую пенсию по инвалидности в беззаявительном порядке с 1 августа каждого года (</w:t>
      </w:r>
      <w:hyperlink r:id="rId9">
        <w:r>
          <w:rPr>
            <w:rFonts w:cs="Times New Roman" w:ascii="Times New Roman" w:hAnsi="Times New Roman"/>
            <w:color w:val="auto"/>
            <w:sz w:val="24"/>
            <w:szCs w:val="24"/>
          </w:rPr>
          <w:t>ч. 18 ст. 15</w:t>
        </w:r>
      </w:hyperlink>
      <w:r>
        <w:rPr>
          <w:rFonts w:cs="Times New Roman" w:ascii="Times New Roman" w:hAnsi="Times New Roman"/>
          <w:sz w:val="24"/>
          <w:szCs w:val="24"/>
        </w:rPr>
        <w:t xml:space="preserve">, </w:t>
      </w:r>
      <w:hyperlink r:id="rId10">
        <w:r>
          <w:rPr>
            <w:rFonts w:cs="Times New Roman" w:ascii="Times New Roman" w:hAnsi="Times New Roman"/>
            <w:color w:val="auto"/>
            <w:sz w:val="24"/>
            <w:szCs w:val="24"/>
          </w:rPr>
          <w:t>п. 3 ч. 2</w:t>
        </w:r>
      </w:hyperlink>
      <w:r>
        <w:rPr>
          <w:rFonts w:cs="Times New Roman" w:ascii="Times New Roman" w:hAnsi="Times New Roman"/>
          <w:sz w:val="24"/>
          <w:szCs w:val="24"/>
        </w:rPr>
        <w:t xml:space="preserve">, </w:t>
      </w:r>
      <w:hyperlink r:id="rId11">
        <w:r>
          <w:rPr>
            <w:rFonts w:cs="Times New Roman" w:ascii="Times New Roman" w:hAnsi="Times New Roman"/>
            <w:color w:val="auto"/>
            <w:sz w:val="24"/>
            <w:szCs w:val="24"/>
          </w:rPr>
          <w:t>ч. 4 ст. 18</w:t>
        </w:r>
      </w:hyperlink>
      <w:r>
        <w:rPr>
          <w:rFonts w:cs="Times New Roman" w:ascii="Times New Roman" w:hAnsi="Times New Roman"/>
          <w:sz w:val="24"/>
          <w:szCs w:val="24"/>
        </w:rPr>
        <w:t xml:space="preserve"> Закона от 28.12.2013 N 400-ФЗ; </w:t>
      </w:r>
      <w:hyperlink r:id="rId12">
        <w:r>
          <w:rPr>
            <w:rFonts w:cs="Times New Roman" w:ascii="Times New Roman" w:hAnsi="Times New Roman"/>
            <w:color w:val="auto"/>
            <w:sz w:val="24"/>
            <w:szCs w:val="24"/>
          </w:rPr>
          <w:t>п. 4 ст. 33.3</w:t>
        </w:r>
      </w:hyperlink>
      <w:r>
        <w:rPr>
          <w:rFonts w:cs="Times New Roman" w:ascii="Times New Roman" w:hAnsi="Times New Roman"/>
          <w:sz w:val="24"/>
          <w:szCs w:val="24"/>
        </w:rPr>
        <w:t xml:space="preserve"> Закона от 15.12.2001 N 167-ФЗ; </w:t>
      </w:r>
      <w:hyperlink r:id="rId13">
        <w:r>
          <w:rPr>
            <w:rFonts w:cs="Times New Roman" w:ascii="Times New Roman" w:hAnsi="Times New Roman"/>
            <w:color w:val="auto"/>
            <w:sz w:val="24"/>
            <w:szCs w:val="24"/>
          </w:rPr>
          <w:t>ст. 6.1</w:t>
        </w:r>
      </w:hyperlink>
      <w:r>
        <w:rPr>
          <w:rFonts w:cs="Times New Roman" w:ascii="Times New Roman" w:hAnsi="Times New Roman"/>
          <w:sz w:val="24"/>
          <w:szCs w:val="24"/>
        </w:rPr>
        <w:t xml:space="preserve"> Закона от 04.12.2013 N 351-ФЗ; </w:t>
      </w:r>
      <w:hyperlink r:id="rId14">
        <w:r>
          <w:rPr>
            <w:rFonts w:cs="Times New Roman" w:ascii="Times New Roman" w:hAnsi="Times New Roman"/>
            <w:color w:val="auto"/>
            <w:sz w:val="24"/>
            <w:szCs w:val="24"/>
          </w:rPr>
          <w:t>п. 56</w:t>
        </w:r>
      </w:hyperlink>
      <w:r>
        <w:rPr>
          <w:rFonts w:cs="Times New Roman" w:ascii="Times New Roman" w:hAnsi="Times New Roman"/>
          <w:sz w:val="24"/>
          <w:szCs w:val="24"/>
        </w:rPr>
        <w:t xml:space="preserve"> Правил, утв. Приказом Минтруда России от 17.11.2014 N 884н).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определенных случаях работающий пенсионер имеет также право на перерасчет размера фиксированной выплаты к страховой пенсии (в частности, при установлении ему I группы инвалидности, при приобретении необходимого стажа работы в районах Крайнего Севера и приравненных к ним местностях) (</w:t>
      </w:r>
      <w:hyperlink r:id="rId15">
        <w:r>
          <w:rPr>
            <w:rFonts w:cs="Times New Roman" w:ascii="Times New Roman" w:hAnsi="Times New Roman"/>
            <w:color w:val="auto"/>
            <w:sz w:val="24"/>
            <w:szCs w:val="24"/>
          </w:rPr>
          <w:t>ч. 8 ст. 18</w:t>
        </w:r>
      </w:hyperlink>
      <w:r>
        <w:rPr>
          <w:rFonts w:cs="Times New Roman" w:ascii="Times New Roman" w:hAnsi="Times New Roman"/>
          <w:sz w:val="24"/>
          <w:szCs w:val="24"/>
        </w:rPr>
        <w:t xml:space="preserve"> Закона N 400-ФЗ).</w:t>
      </w:r>
    </w:p>
    <w:p>
      <w:pPr>
        <w:pStyle w:val="ConsPlusTitle"/>
        <w:ind w:firstLine="425"/>
        <w:jc w:val="both"/>
        <w:rPr>
          <w:rFonts w:ascii="Times New Roman" w:hAnsi="Times New Roman" w:eastAsia="Times New Roman" w:cs="Times New Roman"/>
        </w:rPr>
      </w:pPr>
      <w:r>
        <w:rPr/>
      </w:r>
    </w:p>
    <w:sectPr>
      <w:type w:val="nextPage"/>
      <w:pgSz w:w="11906" w:h="16838"/>
      <w:pgMar w:left="1134" w:right="707"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5c1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342fd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link w:val="30"/>
    <w:uiPriority w:val="9"/>
    <w:qFormat/>
    <w:rsid w:val="00941b01"/>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next w:val="Normal"/>
    <w:link w:val="40"/>
    <w:uiPriority w:val="9"/>
    <w:semiHidden/>
    <w:unhideWhenUsed/>
    <w:qFormat/>
    <w:rsid w:val="00ae7556"/>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42fd8"/>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uiPriority w:val="9"/>
    <w:qFormat/>
    <w:rsid w:val="00941b01"/>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semiHidden/>
    <w:qFormat/>
    <w:rsid w:val="00ae7556"/>
    <w:rPr>
      <w:rFonts w:ascii="Cambria" w:hAnsi="Cambria" w:eastAsia="" w:cs="" w:asciiTheme="majorHAnsi" w:cstheme="majorBidi" w:eastAsiaTheme="majorEastAsia" w:hAnsiTheme="majorHAnsi"/>
      <w:b/>
      <w:bCs/>
      <w:i/>
      <w:iCs/>
      <w:color w:val="4F81BD" w:themeColor="accent1"/>
    </w:rPr>
  </w:style>
  <w:style w:type="character" w:styleId="Style11" w:customStyle="1">
    <w:name w:val="Верхний колонтитул Знак"/>
    <w:basedOn w:val="DefaultParagraphFont"/>
    <w:link w:val="a3"/>
    <w:uiPriority w:val="99"/>
    <w:qFormat/>
    <w:rsid w:val="001c23da"/>
    <w:rPr/>
  </w:style>
  <w:style w:type="character" w:styleId="Style12" w:customStyle="1">
    <w:name w:val="Нижний колонтитул Знак"/>
    <w:basedOn w:val="DefaultParagraphFont"/>
    <w:link w:val="a5"/>
    <w:uiPriority w:val="99"/>
    <w:qFormat/>
    <w:rsid w:val="001c23da"/>
    <w:rPr/>
  </w:style>
  <w:style w:type="character" w:styleId="Style13">
    <w:name w:val="Интернет-ссылка"/>
    <w:basedOn w:val="DefaultParagraphFont"/>
    <w:uiPriority w:val="99"/>
    <w:unhideWhenUsed/>
    <w:rsid w:val="00491db9"/>
    <w:rPr>
      <w:color w:val="0000FF"/>
      <w:u w:val="single"/>
    </w:rPr>
  </w:style>
  <w:style w:type="character" w:styleId="Appleconvertedspace" w:customStyle="1">
    <w:name w:val="apple-converted-space"/>
    <w:basedOn w:val="DefaultParagraphFont"/>
    <w:qFormat/>
    <w:rsid w:val="00eb456c"/>
    <w:rPr/>
  </w:style>
  <w:style w:type="character" w:styleId="Strong">
    <w:name w:val="Strong"/>
    <w:basedOn w:val="DefaultParagraphFont"/>
    <w:uiPriority w:val="22"/>
    <w:qFormat/>
    <w:rsid w:val="00941b01"/>
    <w:rPr>
      <w:b/>
      <w:bCs/>
    </w:rPr>
  </w:style>
  <w:style w:type="character" w:styleId="Quizproposal" w:customStyle="1">
    <w:name w:val="quiz__proposal"/>
    <w:basedOn w:val="DefaultParagraphFont"/>
    <w:qFormat/>
    <w:rsid w:val="00941b01"/>
    <w:rPr/>
  </w:style>
  <w:style w:type="character" w:styleId="Quizlinks" w:customStyle="1">
    <w:name w:val="quiz__links"/>
    <w:basedOn w:val="DefaultParagraphFont"/>
    <w:qFormat/>
    <w:rsid w:val="00941b01"/>
    <w:rPr/>
  </w:style>
  <w:style w:type="character" w:styleId="Quizlinksseparator" w:customStyle="1">
    <w:name w:val="quiz__links__separator"/>
    <w:basedOn w:val="DefaultParagraphFont"/>
    <w:qFormat/>
    <w:rsid w:val="00941b01"/>
    <w:rPr/>
  </w:style>
  <w:style w:type="character" w:styleId="Attachmentstitle" w:customStyle="1">
    <w:name w:val="attachments__title"/>
    <w:basedOn w:val="DefaultParagraphFont"/>
    <w:qFormat/>
    <w:rsid w:val="00e414ba"/>
    <w:rPr/>
  </w:style>
  <w:style w:type="character" w:styleId="Style14" w:customStyle="1">
    <w:name w:val="Текст выноски Знак"/>
    <w:basedOn w:val="DefaultParagraphFont"/>
    <w:link w:val="ab"/>
    <w:uiPriority w:val="99"/>
    <w:semiHidden/>
    <w:qFormat/>
    <w:rsid w:val="00342fd8"/>
    <w:rPr>
      <w:rFonts w:ascii="Tahoma" w:hAnsi="Tahoma" w:cs="Tahoma"/>
      <w:sz w:val="16"/>
      <w:szCs w:val="16"/>
    </w:rPr>
  </w:style>
  <w:style w:type="character" w:styleId="12" w:customStyle="1">
    <w:name w:val="Неразрешенное упоминание1"/>
    <w:basedOn w:val="DefaultParagraphFont"/>
    <w:uiPriority w:val="99"/>
    <w:semiHidden/>
    <w:unhideWhenUsed/>
    <w:qFormat/>
    <w:rsid w:val="00692e48"/>
    <w:rPr>
      <w:color w:val="605E5C"/>
      <w:shd w:fill="E1DFDD" w:val="clear"/>
    </w:rPr>
  </w:style>
  <w:style w:type="character" w:styleId="Style15" w:customStyle="1">
    <w:name w:val="Схема документа Знак"/>
    <w:basedOn w:val="DefaultParagraphFont"/>
    <w:link w:val="ad"/>
    <w:uiPriority w:val="99"/>
    <w:semiHidden/>
    <w:qFormat/>
    <w:rsid w:val="00883e20"/>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1c23da"/>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1c23da"/>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2457b2"/>
    <w:pPr>
      <w:spacing w:before="0" w:after="200"/>
      <w:ind w:left="720" w:hanging="0"/>
      <w:contextualSpacing/>
    </w:pPr>
    <w:rPr/>
  </w:style>
  <w:style w:type="paragraph" w:styleId="ConsPlusNormal" w:customStyle="1">
    <w:name w:val="ConsPlusNormal"/>
    <w:qFormat/>
    <w:rsid w:val="002457b2"/>
    <w:pPr>
      <w:widowControl w:val="false"/>
      <w:bidi w:val="0"/>
      <w:spacing w:lineRule="auto" w:line="240" w:before="0" w:after="0"/>
      <w:jc w:val="left"/>
    </w:pPr>
    <w:rPr>
      <w:rFonts w:ascii="Arial" w:hAnsi="Arial" w:eastAsia="" w:cs="Arial" w:eastAsiaTheme="minorEastAsia"/>
      <w:color w:val="auto"/>
      <w:kern w:val="0"/>
      <w:sz w:val="20"/>
      <w:szCs w:val="20"/>
      <w:lang w:eastAsia="ru-RU" w:val="ru-RU" w:bidi="ar-SA"/>
    </w:rPr>
  </w:style>
  <w:style w:type="paragraph" w:styleId="NormalWeb">
    <w:name w:val="Normal (Web)"/>
    <w:basedOn w:val="Normal"/>
    <w:uiPriority w:val="99"/>
    <w:unhideWhenUsed/>
    <w:qFormat/>
    <w:rsid w:val="00eb456c"/>
    <w:pPr>
      <w:spacing w:lineRule="auto" w:line="240" w:beforeAutospacing="1" w:afterAutospacing="1"/>
    </w:pPr>
    <w:rPr>
      <w:rFonts w:ascii="Times New Roman" w:hAnsi="Times New Roman" w:eastAsia="Times New Roman" w:cs="Times New Roman"/>
      <w:sz w:val="24"/>
      <w:szCs w:val="24"/>
      <w:lang w:eastAsia="ru-RU"/>
    </w:rPr>
  </w:style>
  <w:style w:type="paragraph" w:styleId="Attachmentsitem" w:customStyle="1">
    <w:name w:val="attachments__item"/>
    <w:basedOn w:val="Normal"/>
    <w:qFormat/>
    <w:rsid w:val="00eb456c"/>
    <w:pPr>
      <w:spacing w:lineRule="auto" w:line="240" w:beforeAutospacing="1" w:afterAutospacing="1"/>
    </w:pPr>
    <w:rPr>
      <w:rFonts w:ascii="Times New Roman" w:hAnsi="Times New Roman" w:eastAsia="Times New Roman" w:cs="Times New Roman"/>
      <w:sz w:val="24"/>
      <w:szCs w:val="24"/>
      <w:lang w:eastAsia="ru-RU"/>
    </w:rPr>
  </w:style>
  <w:style w:type="paragraph" w:styleId="Spoilertitle" w:customStyle="1">
    <w:name w:val="spoiler__title"/>
    <w:basedOn w:val="Normal"/>
    <w:qFormat/>
    <w:rsid w:val="00a0164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c"/>
    <w:uiPriority w:val="99"/>
    <w:semiHidden/>
    <w:unhideWhenUsed/>
    <w:qFormat/>
    <w:rsid w:val="00342fd8"/>
    <w:pPr>
      <w:spacing w:lineRule="auto" w:line="240" w:before="0" w:after="0"/>
    </w:pPr>
    <w:rPr>
      <w:rFonts w:ascii="Tahoma" w:hAnsi="Tahoma" w:cs="Tahoma"/>
      <w:sz w:val="16"/>
      <w:szCs w:val="16"/>
    </w:rPr>
  </w:style>
  <w:style w:type="paragraph" w:styleId="ConsPlusTitle" w:customStyle="1">
    <w:name w:val="ConsPlusTitle"/>
    <w:uiPriority w:val="99"/>
    <w:qFormat/>
    <w:rsid w:val="005e4e50"/>
    <w:pPr>
      <w:widowControl w:val="false"/>
      <w:bidi w:val="0"/>
      <w:spacing w:lineRule="auto" w:line="240" w:before="0" w:after="0"/>
      <w:jc w:val="left"/>
    </w:pPr>
    <w:rPr>
      <w:rFonts w:ascii="Arial" w:hAnsi="Arial" w:eastAsia="" w:cs="Arial" w:eastAsiaTheme="minorEastAsia"/>
      <w:b/>
      <w:bCs/>
      <w:color w:val="auto"/>
      <w:kern w:val="0"/>
      <w:sz w:val="24"/>
      <w:szCs w:val="24"/>
      <w:lang w:eastAsia="ru-RU" w:val="ru-RU" w:bidi="ar-SA"/>
    </w:rPr>
  </w:style>
  <w:style w:type="paragraph" w:styleId="Default" w:customStyle="1">
    <w:name w:val="Default"/>
    <w:qFormat/>
    <w:rsid w:val="00f44280"/>
    <w:pPr>
      <w:widowControl/>
      <w:bidi w:val="0"/>
      <w:spacing w:lineRule="auto" w:line="240" w:before="0" w:after="0"/>
      <w:jc w:val="left"/>
    </w:pPr>
    <w:rPr>
      <w:rFonts w:ascii="Times New Roman" w:hAnsi="Times New Roman" w:eastAsia="" w:cs="Times New Roman" w:eastAsiaTheme="minorEastAsia"/>
      <w:color w:val="000000"/>
      <w:kern w:val="0"/>
      <w:sz w:val="24"/>
      <w:szCs w:val="24"/>
      <w:lang w:eastAsia="ru-RU" w:val="ru-RU" w:bidi="ar-SA"/>
    </w:rPr>
  </w:style>
  <w:style w:type="paragraph" w:styleId="DocumentMap">
    <w:name w:val="Document Map"/>
    <w:basedOn w:val="Normal"/>
    <w:link w:val="ae"/>
    <w:uiPriority w:val="99"/>
    <w:semiHidden/>
    <w:unhideWhenUsed/>
    <w:qFormat/>
    <w:rsid w:val="00883e2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oks-k@mail.ru" TargetMode="External"/><Relationship Id="rId3" Type="http://schemas.openxmlformats.org/officeDocument/2006/relationships/hyperlink" Target="https://login.consultant.ru/link/?rnd=1A723F2B31FBB98EF5C56078254ADACA&amp;req=doc&amp;base=LAW&amp;n=90024&amp;dst=473&amp;fld=134&amp;REFFIELD=134&amp;REFDST=100026&amp;REFDOC=1033672&amp;REFBASE=AOPV&amp;stat=refcode%3D10881%3Bdstident%3D473%3Bindex%3D32&amp;date=17.02.2021" TargetMode="External"/><Relationship Id="rId4" Type="http://schemas.openxmlformats.org/officeDocument/2006/relationships/hyperlink" Target="https://login.consultant.ru/link/?rnd=040E60A42272B54B8AD2CCAE236AF790&amp;req=doc&amp;base=LAW&amp;n=308156&amp;dst=100329&amp;fld=134&amp;REFFIELD=134&amp;REFDST=100244&amp;REFDOC=212647&amp;REFBASE=PBI&amp;stat=refcode%3D10881%3Bdstident%3D100329%3Bindex%3D16&amp;date=03.03.2021" TargetMode="External"/><Relationship Id="rId5" Type="http://schemas.openxmlformats.org/officeDocument/2006/relationships/hyperlink" Target="https://login.consultant.ru/link/?rnd=040E60A42272B54B8AD2CCAE236AF790&amp;req=doc&amp;base=LAW&amp;n=308156&amp;dst=100331&amp;fld=134&amp;REFFIELD=134&amp;REFDST=100244&amp;REFDOC=212647&amp;REFBASE=PBI&amp;stat=refcode%3D10881%3Bdstident%3D100331%3Bindex%3D16&amp;date=03.03.2021" TargetMode="External"/><Relationship Id="rId6" Type="http://schemas.openxmlformats.org/officeDocument/2006/relationships/hyperlink" Target="https://login.consultant.ru/link/?rnd=040E60A42272B54B8AD2CCAE236AF790&amp;req=doc&amp;base=LAW&amp;n=377751&amp;dst=1188&amp;fld=134&amp;REFFIELD=134&amp;REFDST=100244&amp;REFDOC=212647&amp;REFBASE=PBI&amp;stat=refcode%3D10881%3Bdstident%3D1188%3Bindex%3D16&amp;date=03.03.2021" TargetMode="External"/><Relationship Id="rId7" Type="http://schemas.openxmlformats.org/officeDocument/2006/relationships/hyperlink" Target="https://login.consultant.ru/link/?rnd=040E60A42272B54B8AD2CCAE236AF790&amp;req=doc&amp;base=LAW&amp;n=349064&amp;REFFIELD=134&amp;REFDST=100244&amp;REFDOC=212647&amp;REFBASE=PBI&amp;stat=refcode%3D16876%3Bindex%3D16&amp;date=03.03.2021" TargetMode="External"/><Relationship Id="rId8" Type="http://schemas.openxmlformats.org/officeDocument/2006/relationships/hyperlink" Target="https://login.consultant.ru/link/?rnd=040E60A42272B54B8AD2CCAE236AF790&amp;req=doc&amp;base=LAW&amp;n=364178&amp;dst=101702&amp;fld=134&amp;REFFIELD=134&amp;REFDST=100244&amp;REFDOC=212647&amp;REFBASE=PBI&amp;stat=refcode%3D10881%3Bdstident%3D101702%3Bindex%3D16&amp;date=03.03.2021" TargetMode="External"/><Relationship Id="rId9" Type="http://schemas.openxmlformats.org/officeDocument/2006/relationships/hyperlink" Target="https://login.consultant.ru/link/?rnd=040E60A42272B54B8AD2CCAE236AF790&amp;req=doc&amp;base=LAW&amp;n=377742&amp;dst=7&amp;fld=134&amp;REFFIELD=134&amp;REFDST=100243&amp;REFDOC=212647&amp;REFBASE=PBI&amp;stat=refcode%3D19867%3Bdstident%3D7%3Bindex%3D9&amp;date=03.03.2021" TargetMode="External"/><Relationship Id="rId10" Type="http://schemas.openxmlformats.org/officeDocument/2006/relationships/hyperlink" Target="https://login.consultant.ru/link/?rnd=040E60A42272B54B8AD2CCAE236AF790&amp;req=doc&amp;base=LAW&amp;n=377742&amp;dst=100223&amp;fld=134&amp;REFFIELD=134&amp;REFDST=100243&amp;REFDOC=212647&amp;REFBASE=PBI&amp;stat=refcode%3D19867%3Bdstident%3D100223%3Bindex%3D9&amp;date=03.03.2021" TargetMode="External"/><Relationship Id="rId11" Type="http://schemas.openxmlformats.org/officeDocument/2006/relationships/hyperlink" Target="https://login.consultant.ru/link/?rnd=040E60A42272B54B8AD2CCAE236AF790&amp;req=doc&amp;base=LAW&amp;n=377742&amp;dst=100232&amp;fld=134&amp;REFFIELD=134&amp;REFDST=100243&amp;REFDOC=212647&amp;REFBASE=PBI&amp;stat=refcode%3D10881%3Bdstident%3D100232%3Bindex%3D9&amp;date=03.03.2021" TargetMode="External"/><Relationship Id="rId12" Type="http://schemas.openxmlformats.org/officeDocument/2006/relationships/hyperlink" Target="https://login.consultant.ru/link/?rnd=040E60A42272B54B8AD2CCAE236AF790&amp;req=doc&amp;base=LAW&amp;n=377751&amp;dst=1189&amp;fld=134&amp;REFFIELD=134&amp;REFDST=100243&amp;REFDOC=212647&amp;REFBASE=PBI&amp;stat=refcode%3D10881%3Bdstident%3D1189%3Bindex%3D9&amp;date=03.03.2021" TargetMode="External"/><Relationship Id="rId13" Type="http://schemas.openxmlformats.org/officeDocument/2006/relationships/hyperlink" Target="https://login.consultant.ru/link/?rnd=040E60A42272B54B8AD2CCAE236AF790&amp;req=doc&amp;base=LAW&amp;n=370242&amp;dst=7&amp;fld=134&amp;REFFIELD=134&amp;REFDST=100243&amp;REFDOC=212647&amp;REFBASE=PBI&amp;stat=refcode%3D10881%3Bdstident%3D7%3Bindex%3D9&amp;date=03.03.2021" TargetMode="External"/><Relationship Id="rId14" Type="http://schemas.openxmlformats.org/officeDocument/2006/relationships/hyperlink" Target="https://login.consultant.ru/link/?rnd=040E60A42272B54B8AD2CCAE236AF790&amp;req=doc&amp;base=LAW&amp;n=361178&amp;dst=100109&amp;fld=134&amp;REFFIELD=134&amp;REFDST=100243&amp;REFDOC=212647&amp;REFBASE=PBI&amp;stat=refcode%3D10881%3Bdstident%3D100109%3Bindex%3D9&amp;date=03.03.2021" TargetMode="External"/><Relationship Id="rId15" Type="http://schemas.openxmlformats.org/officeDocument/2006/relationships/hyperlink" Target="https://login.consultant.ru/link/?rnd=040E60A42272B54B8AD2CCAE236AF790&amp;req=doc&amp;base=LAW&amp;n=377742&amp;dst=100238&amp;fld=134&amp;REFFIELD=134&amp;REFDST=100065&amp;REFDOC=212647&amp;REFBASE=PBI&amp;stat=refcode%3D10881%3Bdstident%3D100238%3Bindex%3D10&amp;date=03.03.2021"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9759-E3E6-422E-8C44-FCEF7642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Application>LibreOffice/6.4.0.3$Windows_x86 LibreOffice_project/b0a288ab3d2d4774cb44b62f04d5d28733ac6df8</Application>
  <Pages>2</Pages>
  <Words>1140</Words>
  <Characters>7114</Characters>
  <CharactersWithSpaces>8229</CharactersWithSpaces>
  <Paragraphs>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2020-04-28T13:04:00Z</dcterms:created>
  <dc:creator>тс</dc:creator>
  <dc:description/>
  <dc:language>ru-RU</dc:language>
  <cp:lastModifiedBy/>
  <dcterms:modified xsi:type="dcterms:W3CDTF">2021-03-04T13:08:03Z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